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附件一：剑阁县人民医院拟购设备清单及基本要求</w:t>
      </w:r>
    </w:p>
    <w:tbl>
      <w:tblPr>
        <w:tblStyle w:val="5"/>
        <w:tblW w:w="10230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115"/>
        <w:gridCol w:w="915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" w:hRule="atLeast"/>
        </w:trPr>
        <w:tc>
          <w:tcPr>
            <w:tcW w:w="17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调研时间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产品名称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数量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10" w:type="dxa"/>
            <w:vMerge w:val="restar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2022年01月24日14:00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电子气管内窥镜（床旁、便携式）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1、便携式，用于床旁检查和治疗。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2、可使用便携触摸显示屏或匹配医用内窥镜摄像系统。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</w:rPr>
              <w:t>配备测漏器、测漏盖，可随时进行测试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4、采用电子成像技术。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Autospacing="0" w:after="63" w:afterLines="20" w:afterAutospacing="0" w:line="240" w:lineRule="auto"/>
              <w:ind w:right="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 xml:space="preserve">电热蒸汽发生器 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1、功率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60KW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2、自动进水、自动压力控制、超压保护。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3、经销商负责设备安装，安装用阀门和管件等辅材经销商负责。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4、经销商负责设备强检和使用登记证的办理。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center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附件二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sz w:val="24"/>
          <w:szCs w:val="24"/>
          <w:u w:val="single" w:color="FFFFFF"/>
          <w:vertAlign w:val="baseline"/>
          <w:lang w:val="en-US" w:eastAsia="zh-CN"/>
        </w:rPr>
        <w:t>设备市场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调研参数配置价格表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 w:firstLine="240" w:firstLineChars="100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公司名称:                                时  间： </w:t>
      </w:r>
    </w:p>
    <w:p>
      <w:pPr>
        <w:rPr>
          <w:rFonts w:hint="default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lang w:eastAsia="zh-CN"/>
        </w:rPr>
        <w:t>公司代表：</w:t>
      </w:r>
      <w:r>
        <w:rPr>
          <w:rFonts w:hint="eastAsia"/>
          <w:lang w:val="en-US" w:eastAsia="zh-CN"/>
        </w:rPr>
        <w:t xml:space="preserve">                                     电话号码：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 </w:t>
      </w:r>
    </w:p>
    <w:tbl>
      <w:tblPr>
        <w:tblStyle w:val="5"/>
        <w:tblW w:w="9827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438"/>
        <w:gridCol w:w="219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43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主要配置、参数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售后、付款方式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第一次报价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第二次报价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873" w:right="1236" w:bottom="87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D2545"/>
    <w:rsid w:val="610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</w:pPr>
    <w:rPr>
      <w:rFonts w:ascii="宋体"/>
      <w:b/>
      <w:bCs/>
      <w:sz w:val="28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2022-01-17T00:46:00Z</dcterms:created>
  <dc:creator>星星知我心</dc:creator>
  <cp:lastModifiedBy>星星知我心</cp:lastModifiedBy>
  <dcterms:modified xsi:type="dcterms:W3CDTF">2022-01-17T00:46:46Z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11AB037225CF481FAFDE53D4829D6B01</vt:lpwstr>
  </property>
</Properties>
</file>